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12101022_300-04-02-Kl26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Räume im Geb.AD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Trockenbauarbeiten benötigt.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